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3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24"/>
        <w:gridCol w:w="8655"/>
      </w:tblGrid>
      <w:tr w:rsidR="00E51068" w:rsidRPr="00E51068" w:rsidTr="00E51068"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1068" w:rsidRPr="00E51068" w:rsidRDefault="00E51068" w:rsidP="00E5106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The_Actus_Reus_of_murder"/>
            <w:r w:rsidRPr="00E5106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>The </w:t>
            </w:r>
            <w:proofErr w:type="spellStart"/>
            <w:r w:rsidRPr="00E51068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sz w:val="20"/>
                <w:szCs w:val="20"/>
                <w:lang w:eastAsia="en-GB"/>
              </w:rPr>
              <w:t>Actus</w:t>
            </w:r>
            <w:proofErr w:type="spellEnd"/>
            <w:r w:rsidRPr="00E51068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sz w:val="20"/>
                <w:szCs w:val="20"/>
                <w:lang w:eastAsia="en-GB"/>
              </w:rPr>
              <w:t xml:space="preserve"> Reus</w:t>
            </w:r>
            <w:r w:rsidRPr="00E5106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> of murder</w:t>
            </w:r>
            <w:bookmarkEnd w:id="0"/>
          </w:p>
        </w:tc>
      </w:tr>
      <w:tr w:rsidR="00E51068" w:rsidRPr="00E51068" w:rsidTr="00E5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1068" w:rsidRPr="00E51068" w:rsidRDefault="00E51068" w:rsidP="00E5106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51068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Actus</w:t>
            </w:r>
            <w:proofErr w:type="spellEnd"/>
            <w:r w:rsidRPr="00E51068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1068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reus</w:t>
            </w:r>
            <w:proofErr w:type="spellEnd"/>
          </w:p>
        </w:tc>
        <w:tc>
          <w:tcPr>
            <w:tcW w:w="39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1068" w:rsidRPr="00E51068" w:rsidRDefault="00E51068" w:rsidP="00E51068">
            <w:pPr>
              <w:numPr>
                <w:ilvl w:val="0"/>
                <w:numId w:val="1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The defendant did the act or omitted to do a legally recognised duty. (an act or omission)</w:t>
            </w:r>
          </w:p>
          <w:p w:rsidR="00E51068" w:rsidRPr="00E51068" w:rsidRDefault="00E51068" w:rsidP="00E51068">
            <w:pPr>
              <w:numPr>
                <w:ilvl w:val="0"/>
                <w:numId w:val="1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The act was deliberate.</w:t>
            </w:r>
          </w:p>
          <w:p w:rsidR="00E51068" w:rsidRPr="00E51068" w:rsidRDefault="00E51068" w:rsidP="00E51068">
            <w:pPr>
              <w:numPr>
                <w:ilvl w:val="0"/>
                <w:numId w:val="1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The act was unlawful. (As opposed to killing in </w:t>
            </w:r>
            <w:proofErr w:type="spellStart"/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self defence</w:t>
            </w:r>
            <w:proofErr w:type="spellEnd"/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).</w:t>
            </w:r>
          </w:p>
          <w:p w:rsidR="00E51068" w:rsidRPr="00E51068" w:rsidRDefault="00E51068" w:rsidP="00E51068">
            <w:pPr>
              <w:numPr>
                <w:ilvl w:val="0"/>
                <w:numId w:val="1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The act was a significant cause of death.</w:t>
            </w:r>
          </w:p>
          <w:p w:rsidR="00E51068" w:rsidRPr="00E51068" w:rsidRDefault="00E51068" w:rsidP="00E51068">
            <w:pPr>
              <w:numPr>
                <w:ilvl w:val="0"/>
                <w:numId w:val="1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The death was of a person in being.</w:t>
            </w:r>
          </w:p>
        </w:tc>
      </w:tr>
      <w:tr w:rsidR="00E51068" w:rsidRPr="00E51068" w:rsidTr="00E5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1068" w:rsidRPr="00E51068" w:rsidRDefault="00E51068" w:rsidP="00E5106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510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Actus</w:t>
            </w:r>
            <w:proofErr w:type="spellEnd"/>
            <w:r w:rsidRPr="00E510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10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reus</w:t>
            </w:r>
            <w:proofErr w:type="spellEnd"/>
            <w:r w:rsidRPr="00E510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, same for murder and manslaughter</w:t>
            </w:r>
          </w:p>
        </w:tc>
        <w:tc>
          <w:tcPr>
            <w:tcW w:w="39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1068" w:rsidRPr="00E51068" w:rsidRDefault="00E51068" w:rsidP="00E5106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The </w:t>
            </w:r>
            <w:proofErr w:type="spellStart"/>
            <w:r w:rsidRPr="00E5106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n-GB"/>
              </w:rPr>
              <w:t>actus</w:t>
            </w:r>
            <w:proofErr w:type="spellEnd"/>
            <w:r w:rsidRPr="00E5106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106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n-GB"/>
              </w:rPr>
              <w:t>reus</w:t>
            </w:r>
            <w:proofErr w:type="spellEnd"/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for both murder and manslaughter is the same.  The difference between the two crimes is found in the </w:t>
            </w:r>
            <w:proofErr w:type="spellStart"/>
            <w:r w:rsidRPr="00E5106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n-GB"/>
              </w:rPr>
              <w:t>mens</w:t>
            </w:r>
            <w:proofErr w:type="spellEnd"/>
            <w:r w:rsidRPr="00E5106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106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n-GB"/>
              </w:rPr>
              <w:t>rea</w:t>
            </w:r>
            <w:proofErr w:type="spellEnd"/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.</w:t>
            </w:r>
          </w:p>
        </w:tc>
      </w:tr>
      <w:tr w:rsidR="00E51068" w:rsidRPr="00E51068" w:rsidTr="00E5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1068" w:rsidRPr="00E51068" w:rsidRDefault="00E51068" w:rsidP="00E5106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10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Who may be killed?</w:t>
            </w:r>
          </w:p>
        </w:tc>
        <w:tc>
          <w:tcPr>
            <w:tcW w:w="39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1068" w:rsidRPr="00E51068" w:rsidRDefault="00E51068" w:rsidP="00E51068">
            <w:pPr>
              <w:numPr>
                <w:ilvl w:val="0"/>
                <w:numId w:val="2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Any reasonable creature, this is taken to mean the 'human' being there is no such thing as a monstrous birth </w:t>
            </w:r>
            <w:hyperlink r:id="rId6" w:anchor="Re A (Children) (2000) CA" w:history="1">
              <w:r w:rsidRPr="00E51068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  <w:u w:val="single"/>
                  <w:lang w:eastAsia="en-GB"/>
                </w:rPr>
                <w:t>Re A (Children)</w:t>
              </w:r>
              <w:r w:rsidRPr="00E51068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 (2000)</w:t>
              </w:r>
            </w:hyperlink>
          </w:p>
          <w:p w:rsidR="00E51068" w:rsidRPr="00E51068" w:rsidRDefault="00E51068" w:rsidP="00E51068">
            <w:pPr>
              <w:numPr>
                <w:ilvl w:val="0"/>
                <w:numId w:val="2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It is not essential that a child draw breath prior to an act which caused its death.</w:t>
            </w:r>
          </w:p>
          <w:p w:rsidR="00E51068" w:rsidRPr="00E51068" w:rsidRDefault="00E51068" w:rsidP="00E51068">
            <w:pPr>
              <w:numPr>
                <w:ilvl w:val="0"/>
                <w:numId w:val="2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If a child were caused to be born prematurely and as a consequence the child died then that would be murder.</w:t>
            </w:r>
          </w:p>
        </w:tc>
      </w:tr>
      <w:tr w:rsidR="00E51068" w:rsidRPr="00E51068" w:rsidTr="00E5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1068" w:rsidRPr="00E51068" w:rsidRDefault="00E51068" w:rsidP="00E5106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10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A foetus</w:t>
            </w:r>
          </w:p>
        </w:tc>
        <w:tc>
          <w:tcPr>
            <w:tcW w:w="39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1068" w:rsidRPr="00E51068" w:rsidRDefault="00E51068" w:rsidP="00E5106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Is not a human being for the purposes of the law of </w:t>
            </w:r>
            <w:proofErr w:type="gramStart"/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homicide.</w:t>
            </w:r>
            <w:proofErr w:type="gramEnd"/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A child is not considered in law to be in being until the whole body of the child is extruded from the womb and has an existence independent of the mother.</w:t>
            </w:r>
          </w:p>
          <w:p w:rsidR="00E51068" w:rsidRPr="00E51068" w:rsidRDefault="00E51068" w:rsidP="00E5106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10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E51068" w:rsidRPr="00E51068" w:rsidRDefault="00E51068" w:rsidP="00E5106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Whether the child has an independent existence turns upon whether it has an independent circulation, and has breathed or had a capacity for independent breathing.</w:t>
            </w:r>
          </w:p>
          <w:p w:rsidR="00E51068" w:rsidRPr="00E51068" w:rsidRDefault="00E51068" w:rsidP="00E5106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10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E51068" w:rsidRPr="00E51068" w:rsidRDefault="00E51068" w:rsidP="00E5106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 child may have an independent existence, however, even though it has not drawn breath and even though the umbilical cord is not severed.</w:t>
            </w:r>
          </w:p>
          <w:p w:rsidR="00E51068" w:rsidRPr="00E51068" w:rsidRDefault="00E51068" w:rsidP="00E5106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 person continues in being until his being is extinguished by death.</w:t>
            </w:r>
          </w:p>
        </w:tc>
      </w:tr>
      <w:tr w:rsidR="00E51068" w:rsidRPr="00E51068" w:rsidTr="00E5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1068" w:rsidRPr="00E51068" w:rsidRDefault="00E51068" w:rsidP="00E5106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10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Queen’s Peace</w:t>
            </w:r>
          </w:p>
        </w:tc>
        <w:tc>
          <w:tcPr>
            <w:tcW w:w="39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1068" w:rsidRPr="00E51068" w:rsidRDefault="00E51068" w:rsidP="00E5106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All persons are "under the Queen's peace" except foreign enemies killed in war.</w:t>
            </w:r>
          </w:p>
        </w:tc>
      </w:tr>
      <w:tr w:rsidR="00E51068" w:rsidRPr="00E51068" w:rsidTr="00E5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1068" w:rsidRPr="00E51068" w:rsidRDefault="00E51068" w:rsidP="00E5106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10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"Kills", what is death?</w:t>
            </w:r>
          </w:p>
        </w:tc>
        <w:tc>
          <w:tcPr>
            <w:tcW w:w="39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1068" w:rsidRPr="00E51068" w:rsidRDefault="00E51068" w:rsidP="00E51068">
            <w:pPr>
              <w:numPr>
                <w:ilvl w:val="0"/>
                <w:numId w:val="3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Disconnection of a life support machine causes death unless death has already occurred because the brain is dead </w:t>
            </w:r>
            <w:proofErr w:type="spellStart"/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fldChar w:fldCharType="begin"/>
            </w:r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instrText xml:space="preserve"> HYPERLINK "http://sixthformlaw.info/02_cases/mod3a/cases_31_murder_actus.htm" \l "Malcherek_&amp;_Steel,_R_v_[1981]_CA" </w:instrText>
            </w:r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fldChar w:fldCharType="separate"/>
            </w:r>
            <w:r w:rsidRPr="00E51068">
              <w:rPr>
                <w:rFonts w:ascii="Verdana" w:eastAsia="Times New Roman" w:hAnsi="Verdana" w:cs="Times New Roman"/>
                <w:i/>
                <w:iCs/>
                <w:color w:val="0000FF"/>
                <w:sz w:val="20"/>
                <w:szCs w:val="20"/>
                <w:u w:val="single"/>
                <w:lang w:eastAsia="en-GB"/>
              </w:rPr>
              <w:t>Malcherek</w:t>
            </w:r>
            <w:proofErr w:type="spellEnd"/>
            <w:r w:rsidRPr="00E51068">
              <w:rPr>
                <w:rFonts w:ascii="Verdana" w:eastAsia="Times New Roman" w:hAnsi="Verdana" w:cs="Times New Roman"/>
                <w:i/>
                <w:iCs/>
                <w:color w:val="0000FF"/>
                <w:sz w:val="20"/>
                <w:szCs w:val="20"/>
                <w:u w:val="single"/>
                <w:lang w:eastAsia="en-GB"/>
              </w:rPr>
              <w:t xml:space="preserve"> and Steel </w:t>
            </w:r>
            <w:r w:rsidRPr="00E51068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en-GB"/>
              </w:rPr>
              <w:t>(1981)</w:t>
            </w:r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fldChar w:fldCharType="end"/>
            </w:r>
          </w:p>
          <w:p w:rsidR="00E51068" w:rsidRPr="00E51068" w:rsidRDefault="00E51068" w:rsidP="00E51068">
            <w:pPr>
              <w:numPr>
                <w:ilvl w:val="0"/>
                <w:numId w:val="3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However,</w:t>
            </w:r>
            <w:r w:rsidRPr="00E5106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n-GB"/>
              </w:rPr>
              <w:t> </w:t>
            </w:r>
            <w:hyperlink r:id="rId7" w:anchor="Airedale_HA_v_Bland_[1993]_HL" w:history="1">
              <w:r w:rsidRPr="00E51068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  <w:u w:val="single"/>
                  <w:lang w:eastAsia="en-GB"/>
                </w:rPr>
                <w:t>Airedale NHS Trust v Bland</w:t>
              </w:r>
              <w:r w:rsidRPr="00E51068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 (1993)</w:t>
              </w:r>
            </w:hyperlink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has allowed the previous brain death decision to be questioned. In many respects Bland was 'alive' in that he was in a state of Persistent Vegetative State (</w:t>
            </w:r>
            <w:hyperlink r:id="rId8" w:anchor="PVS" w:history="1">
              <w:r w:rsidRPr="00E51068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PVS</w:t>
              </w:r>
            </w:hyperlink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). Any right to die for someone in this live brainstem state must be sanctioned by the courts.</w:t>
            </w:r>
          </w:p>
          <w:p w:rsidR="00E51068" w:rsidRPr="00E51068" w:rsidRDefault="00E51068" w:rsidP="00E51068">
            <w:pPr>
              <w:numPr>
                <w:ilvl w:val="0"/>
                <w:numId w:val="3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 person causes the death of another where by any act or omission he accelerates the death of that other</w:t>
            </w:r>
          </w:p>
        </w:tc>
      </w:tr>
      <w:tr w:rsidR="00E51068" w:rsidRPr="00E51068" w:rsidTr="00E51068"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1068" w:rsidRPr="00E51068" w:rsidRDefault="00E51068" w:rsidP="00E5106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10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Prosecution must establish that D's act was both a factual </w:t>
            </w:r>
            <w:r w:rsidRPr="00E5106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>and a</w:t>
            </w:r>
            <w:r w:rsidRPr="00E510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 legal cause of the result. </w:t>
            </w:r>
          </w:p>
        </w:tc>
      </w:tr>
      <w:tr w:rsidR="00E51068" w:rsidRPr="00E51068" w:rsidTr="00E5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1068" w:rsidRPr="00E51068" w:rsidRDefault="00E51068" w:rsidP="00E5106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10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Factual causation </w:t>
            </w:r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1068" w:rsidRPr="00E51068" w:rsidRDefault="00E51068" w:rsidP="00E5106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D’s act must be more than a </w:t>
            </w:r>
            <w:r w:rsidRPr="00E5106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n-GB"/>
              </w:rPr>
              <w:t xml:space="preserve">de </w:t>
            </w:r>
            <w:proofErr w:type="spellStart"/>
            <w:r w:rsidRPr="00E5106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n-GB"/>
              </w:rPr>
              <w:t>minimis</w:t>
            </w:r>
            <w:proofErr w:type="spellEnd"/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cause (trifling, trivial connection with the result).</w:t>
            </w:r>
          </w:p>
          <w:p w:rsidR="00E51068" w:rsidRPr="00E51068" w:rsidRDefault="00E51068" w:rsidP="00E5106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10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E51068" w:rsidRPr="00E51068" w:rsidRDefault="00E51068" w:rsidP="00E5106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Death is inevitable to all of us and murder is an acceleration of V's death, it is immaterial if the victim is already suffering from a fatal disease.</w:t>
            </w:r>
          </w:p>
          <w:p w:rsidR="00E51068" w:rsidRPr="00E51068" w:rsidRDefault="00E51068" w:rsidP="00E5106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10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E51068" w:rsidRPr="00E51068" w:rsidRDefault="00E51068" w:rsidP="00E5106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The 'but for' test used in </w:t>
            </w:r>
            <w:hyperlink r:id="rId9" w:anchor="White,_R_v_[1910]_CA" w:history="1">
              <w:r w:rsidRPr="00E51068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  <w:u w:val="single"/>
                  <w:lang w:eastAsia="en-GB"/>
                </w:rPr>
                <w:t>White </w:t>
              </w:r>
              <w:r w:rsidRPr="00E51068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[1910]</w:t>
              </w:r>
            </w:hyperlink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is not very sophisticated and may not predict the result where more than one cause is involved in the death.</w:t>
            </w:r>
          </w:p>
        </w:tc>
      </w:tr>
      <w:tr w:rsidR="00E51068" w:rsidRPr="00E51068" w:rsidTr="00E5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1068" w:rsidRPr="00E51068" w:rsidRDefault="00E51068" w:rsidP="00E5106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10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lastRenderedPageBreak/>
              <w:t>Causation in law</w:t>
            </w:r>
          </w:p>
        </w:tc>
        <w:tc>
          <w:tcPr>
            <w:tcW w:w="39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1068" w:rsidRPr="00E51068" w:rsidRDefault="00E51068" w:rsidP="00E5106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D’s act does not have to be</w:t>
            </w:r>
            <w:r w:rsidRPr="00E51068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 the sole or even the main cause,</w:t>
            </w:r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provided</w:t>
            </w:r>
            <w:r w:rsidRPr="00E51068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 </w:t>
            </w:r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it is a substantial and operating cause of death or was a significant contribution to the death (</w:t>
            </w:r>
            <w:hyperlink r:id="rId10" w:anchor="Smith,_R_v_[1959]_CMAC" w:history="1">
              <w:r w:rsidRPr="00E51068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  <w:u w:val="single"/>
                  <w:lang w:eastAsia="en-GB"/>
                </w:rPr>
                <w:t>Smith</w:t>
              </w:r>
            </w:hyperlink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; </w:t>
            </w:r>
            <w:proofErr w:type="spellStart"/>
            <w:r w:rsidRPr="00E5106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n-GB"/>
              </w:rPr>
              <w:fldChar w:fldCharType="begin"/>
            </w:r>
            <w:r w:rsidRPr="00E5106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n-GB"/>
              </w:rPr>
              <w:instrText xml:space="preserve"> HYPERLINK "http://sixthformlaw.info/02_cases/mod3a/cases_31_murder_actus.htm" \l "Pagett, R v (1983) CA" </w:instrText>
            </w:r>
            <w:r w:rsidRPr="00E5106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n-GB"/>
              </w:rPr>
              <w:fldChar w:fldCharType="separate"/>
            </w:r>
            <w:r w:rsidRPr="00E51068">
              <w:rPr>
                <w:rFonts w:ascii="Verdana" w:eastAsia="Times New Roman" w:hAnsi="Verdana" w:cs="Times New Roman"/>
                <w:i/>
                <w:iCs/>
                <w:color w:val="0000FF"/>
                <w:sz w:val="20"/>
                <w:szCs w:val="20"/>
                <w:u w:val="single"/>
                <w:lang w:eastAsia="en-GB"/>
              </w:rPr>
              <w:t>Pagett</w:t>
            </w:r>
            <w:proofErr w:type="spellEnd"/>
            <w:r w:rsidRPr="00E5106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n-GB"/>
              </w:rPr>
              <w:fldChar w:fldCharType="end"/>
            </w:r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).  Substantial means that is not trifling or trivial.  It does not require proof that D’s act was largely to blame. </w:t>
            </w:r>
          </w:p>
          <w:p w:rsidR="00E51068" w:rsidRPr="00E51068" w:rsidRDefault="00E51068" w:rsidP="00E5106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10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E51068" w:rsidRPr="00E51068" w:rsidRDefault="00E51068" w:rsidP="00E5106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The act or omission must be one of the causes for example in</w:t>
            </w:r>
            <w:r w:rsidRPr="00E5106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n-GB"/>
              </w:rPr>
              <w:t> </w:t>
            </w:r>
            <w:hyperlink r:id="rId11" w:anchor="Dalloway, R v (1847) Erle J" w:history="1">
              <w:r w:rsidRPr="00E51068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  <w:u w:val="single"/>
                  <w:lang w:eastAsia="en-GB"/>
                </w:rPr>
                <w:t>R v Dalloway </w:t>
              </w:r>
              <w:r w:rsidRPr="00E51068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(1847)</w:t>
              </w:r>
            </w:hyperlink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 the driver of a cart was not guilty of manslaughter where his negligent driving did not contribute to death of child who ran into the path of vehicle. </w:t>
            </w:r>
            <w:proofErr w:type="gramStart"/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and</w:t>
            </w:r>
            <w:proofErr w:type="gramEnd"/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one that is more than minimal.</w:t>
            </w:r>
          </w:p>
          <w:p w:rsidR="00E51068" w:rsidRPr="00E51068" w:rsidRDefault="00E51068" w:rsidP="00E5106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10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E51068" w:rsidRPr="00E51068" w:rsidRDefault="00E51068" w:rsidP="00E5106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It is therefore possible to have two or more independent operative causes of death, and any person whose conduct constitutes a cause may be convicted of an offence in respect of the death.</w:t>
            </w:r>
          </w:p>
          <w:p w:rsidR="00E51068" w:rsidRPr="00E51068" w:rsidRDefault="00E51068" w:rsidP="00E5106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The defendant's act must be more than a minimal cause of the death. It was said by Robert Goff LJ in</w:t>
            </w:r>
            <w:r w:rsidRPr="00E510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 </w:t>
            </w:r>
            <w:proofErr w:type="spellStart"/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fldChar w:fldCharType="begin"/>
            </w:r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instrText xml:space="preserve"> HYPERLINK "http://sixthformlaw.info/02_cases/mod3a/cases_31_murder_actus.htm" \l "Pagett, R v (1983) CA" </w:instrText>
            </w:r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fldChar w:fldCharType="separate"/>
            </w:r>
            <w:r w:rsidRPr="00E51068">
              <w:rPr>
                <w:rFonts w:ascii="Verdana" w:eastAsia="Times New Roman" w:hAnsi="Verdana" w:cs="Times New Roman"/>
                <w:i/>
                <w:iCs/>
                <w:color w:val="0000FF"/>
                <w:sz w:val="20"/>
                <w:szCs w:val="20"/>
                <w:u w:val="single"/>
                <w:lang w:eastAsia="en-GB"/>
              </w:rPr>
              <w:t>Pagett</w:t>
            </w:r>
            <w:proofErr w:type="spellEnd"/>
            <w:r w:rsidRPr="00E51068">
              <w:rPr>
                <w:rFonts w:ascii="Verdana" w:eastAsia="Times New Roman" w:hAnsi="Verdana" w:cs="Times New Roman"/>
                <w:i/>
                <w:iCs/>
                <w:color w:val="0000FF"/>
                <w:sz w:val="20"/>
                <w:szCs w:val="20"/>
                <w:u w:val="single"/>
                <w:lang w:eastAsia="en-GB"/>
              </w:rPr>
              <w:t> </w:t>
            </w:r>
            <w:r w:rsidRPr="00E51068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en-GB"/>
              </w:rPr>
              <w:t>[1983] </w:t>
            </w:r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fldChar w:fldCharType="end"/>
            </w:r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that</w:t>
            </w:r>
            <w:r w:rsidRPr="00E510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 </w:t>
            </w:r>
            <w:r w:rsidRPr="00E51068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"the accused's act need not be the sole cause, or even the main cause, of the victim's death, it being enough that his act contributed significantly to that result." </w:t>
            </w:r>
          </w:p>
          <w:p w:rsidR="00E51068" w:rsidRPr="00E51068" w:rsidRDefault="00E51068" w:rsidP="00E5106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10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E51068" w:rsidRPr="00E51068" w:rsidRDefault="00E51068" w:rsidP="00E5106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Other causes which contribute to the death may be the actions of others, (</w:t>
            </w:r>
            <w:proofErr w:type="spellStart"/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eg</w:t>
            </w:r>
            <w:proofErr w:type="spellEnd"/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the acts of the police in </w:t>
            </w:r>
            <w:proofErr w:type="spellStart"/>
            <w:r w:rsidRPr="00E5106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n-GB"/>
              </w:rPr>
              <w:fldChar w:fldCharType="begin"/>
            </w:r>
            <w:r w:rsidRPr="00E5106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n-GB"/>
              </w:rPr>
              <w:instrText xml:space="preserve"> HYPERLINK "http://sixthformlaw.info/02_cases/mod3a/cases_31_murder_actus.htm" \l "Pagett, R v (1983) CA" </w:instrText>
            </w:r>
            <w:r w:rsidRPr="00E5106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n-GB"/>
              </w:rPr>
              <w:fldChar w:fldCharType="separate"/>
            </w:r>
            <w:r w:rsidRPr="00E51068">
              <w:rPr>
                <w:rFonts w:ascii="Verdana" w:eastAsia="Times New Roman" w:hAnsi="Verdana" w:cs="Times New Roman"/>
                <w:i/>
                <w:iCs/>
                <w:color w:val="0000FF"/>
                <w:sz w:val="20"/>
                <w:szCs w:val="20"/>
                <w:u w:val="single"/>
                <w:lang w:eastAsia="en-GB"/>
              </w:rPr>
              <w:t>Pagett</w:t>
            </w:r>
            <w:proofErr w:type="spellEnd"/>
            <w:r w:rsidRPr="00E5106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n-GB"/>
              </w:rPr>
              <w:fldChar w:fldCharType="end"/>
            </w:r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), or of the victim himself </w:t>
            </w:r>
            <w:hyperlink r:id="rId12" w:anchor="Williams &amp; Davis, R v [1992] CA" w:history="1">
              <w:r w:rsidRPr="00E51068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  <w:u w:val="single"/>
                  <w:lang w:eastAsia="en-GB"/>
                </w:rPr>
                <w:t>Williams </w:t>
              </w:r>
              <w:r w:rsidRPr="00E51068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[1992]</w:t>
              </w:r>
            </w:hyperlink>
            <w:r w:rsidRPr="00E510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 </w:t>
            </w:r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(but see </w:t>
            </w:r>
            <w:hyperlink r:id="rId13" w:anchor="Roberts, R v (1971) CA" w:history="1">
              <w:r w:rsidRPr="00E51068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  <w:u w:val="single"/>
                  <w:lang w:eastAsia="en-GB"/>
                </w:rPr>
                <w:t>Roberts</w:t>
              </w:r>
              <w:r w:rsidRPr="00E51068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 (1971)</w:t>
              </w:r>
            </w:hyperlink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).  These other causes do not of themselves relieve D of liability where D's act was a </w:t>
            </w:r>
            <w:r w:rsidRPr="00E5106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n-GB"/>
              </w:rPr>
              <w:t>substantial and operating cause</w:t>
            </w:r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. </w:t>
            </w:r>
          </w:p>
          <w:p w:rsidR="00E51068" w:rsidRPr="00E51068" w:rsidRDefault="00E51068" w:rsidP="00E5106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10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E51068" w:rsidRPr="00E51068" w:rsidRDefault="00E51068" w:rsidP="00E5106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The civil law notion of </w:t>
            </w:r>
            <w:proofErr w:type="spellStart"/>
            <w:r w:rsidRPr="00E5106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n-GB"/>
              </w:rPr>
              <w:t>novus</w:t>
            </w:r>
            <w:proofErr w:type="spellEnd"/>
            <w:r w:rsidRPr="00E5106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106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n-GB"/>
              </w:rPr>
              <w:t>actus</w:t>
            </w:r>
            <w:proofErr w:type="spellEnd"/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also arises here; the chain of causation may be broken where the intervention was “free, deliberate and informed.” </w:t>
            </w:r>
          </w:p>
          <w:p w:rsidR="00E51068" w:rsidRPr="00E51068" w:rsidRDefault="00E51068" w:rsidP="00E5106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10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E51068" w:rsidRPr="00E51068" w:rsidRDefault="00E51068" w:rsidP="00E5106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In English </w:t>
            </w:r>
            <w:r w:rsidRPr="00E5106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n-GB"/>
              </w:rPr>
              <w:t>civil law</w:t>
            </w:r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that you must take your victim as you find him, this principle applies in criminal law: for example.  This principle, known as the egg-shell skull rule, is not confined to the victim's physical condition </w:t>
            </w:r>
            <w:proofErr w:type="spellStart"/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fldChar w:fldCharType="begin"/>
            </w:r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instrText xml:space="preserve"> HYPERLINK "http://sixthformlaw.info/02_cases/mod3a/cases_31_murder_actus.htm" \l "Blaue,_R_v_[1975]_CA" </w:instrText>
            </w:r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fldChar w:fldCharType="separate"/>
            </w:r>
            <w:r w:rsidRPr="00E51068">
              <w:rPr>
                <w:rFonts w:ascii="Verdana" w:eastAsia="Times New Roman" w:hAnsi="Verdana" w:cs="Times New Roman"/>
                <w:i/>
                <w:iCs/>
                <w:color w:val="0000FF"/>
                <w:sz w:val="20"/>
                <w:szCs w:val="20"/>
                <w:u w:val="single"/>
                <w:lang w:eastAsia="en-GB"/>
              </w:rPr>
              <w:t>Blaue</w:t>
            </w:r>
            <w:proofErr w:type="spellEnd"/>
            <w:r w:rsidRPr="00E51068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en-GB"/>
              </w:rPr>
              <w:t> [1975]</w:t>
            </w:r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fldChar w:fldCharType="end"/>
            </w:r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.  It is not of universal application, however, as seen in </w:t>
            </w:r>
            <w:hyperlink r:id="rId14" w:anchor="Roberts, R v (1971) CA" w:history="1">
              <w:proofErr w:type="gramStart"/>
              <w:r w:rsidRPr="00E51068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  <w:u w:val="single"/>
                  <w:lang w:eastAsia="en-GB"/>
                </w:rPr>
                <w:t>Roberts</w:t>
              </w:r>
              <w:r w:rsidRPr="00E51068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(</w:t>
              </w:r>
              <w:proofErr w:type="gramEnd"/>
              <w:r w:rsidRPr="00E51068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1971)</w:t>
              </w:r>
            </w:hyperlink>
            <w:r w:rsidRPr="00E510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.</w:t>
            </w:r>
          </w:p>
          <w:p w:rsidR="00E51068" w:rsidRPr="00E51068" w:rsidRDefault="00E51068" w:rsidP="00E5106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10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E51068" w:rsidRPr="00E51068" w:rsidRDefault="00E51068" w:rsidP="00E5106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An act which constitute</w:t>
            </w:r>
            <w:proofErr w:type="gramEnd"/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a </w:t>
            </w:r>
            <w:proofErr w:type="spellStart"/>
            <w:r w:rsidRPr="00E5106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n-GB"/>
              </w:rPr>
              <w:t>novus</w:t>
            </w:r>
            <w:proofErr w:type="spellEnd"/>
            <w:r w:rsidRPr="00E5106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106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n-GB"/>
              </w:rPr>
              <w:t>actus</w:t>
            </w:r>
            <w:proofErr w:type="spellEnd"/>
            <w:r w:rsidRPr="00E5106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106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n-GB"/>
              </w:rPr>
              <w:t>interveniens</w:t>
            </w:r>
            <w:proofErr w:type="spellEnd"/>
            <w:r w:rsidRPr="00E5106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n-GB"/>
              </w:rPr>
              <w:t> </w:t>
            </w:r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breaking the chain of causation between D's act and the resulting death relieves D of liability).</w:t>
            </w:r>
          </w:p>
          <w:p w:rsidR="00E51068" w:rsidRPr="00E51068" w:rsidRDefault="00E51068" w:rsidP="00E5106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106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Rarely will the courts admit the new act to be improper or negligent medical treatment.</w:t>
            </w:r>
          </w:p>
        </w:tc>
      </w:tr>
    </w:tbl>
    <w:p w:rsidR="00F16ADD" w:rsidRDefault="00F16ADD">
      <w:bookmarkStart w:id="1" w:name="_GoBack"/>
      <w:bookmarkEnd w:id="1"/>
    </w:p>
    <w:sectPr w:rsidR="00F16ADD" w:rsidSect="00E510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554"/>
    <w:multiLevelType w:val="multilevel"/>
    <w:tmpl w:val="DB1E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FD1072"/>
    <w:multiLevelType w:val="multilevel"/>
    <w:tmpl w:val="56DC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686501"/>
    <w:multiLevelType w:val="multilevel"/>
    <w:tmpl w:val="5640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68"/>
    <w:rsid w:val="00E51068"/>
    <w:rsid w:val="00F1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1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E51068"/>
  </w:style>
  <w:style w:type="character" w:styleId="Hyperlink">
    <w:name w:val="Hyperlink"/>
    <w:basedOn w:val="DefaultParagraphFont"/>
    <w:uiPriority w:val="99"/>
    <w:semiHidden/>
    <w:unhideWhenUsed/>
    <w:rsid w:val="00E510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1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E51068"/>
  </w:style>
  <w:style w:type="character" w:styleId="Hyperlink">
    <w:name w:val="Hyperlink"/>
    <w:basedOn w:val="DefaultParagraphFont"/>
    <w:uiPriority w:val="99"/>
    <w:semiHidden/>
    <w:unhideWhenUsed/>
    <w:rsid w:val="00E51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xthformlaw.info/03_dictionary/dict_p.htm" TargetMode="External"/><Relationship Id="rId13" Type="http://schemas.openxmlformats.org/officeDocument/2006/relationships/hyperlink" Target="http://sixthformlaw.info/02_cases/mod3a/cases_53_assaults_non_contact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ixthformlaw.info/02_cases/mod3a/cases_31_murder_actus.htm" TargetMode="External"/><Relationship Id="rId12" Type="http://schemas.openxmlformats.org/officeDocument/2006/relationships/hyperlink" Target="http://sixthformlaw.info/02_cases/mod3a/cases_38_invol_uada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ixthformlaw.info/02_cases/mod3a/cases_32_murder_mens.htm" TargetMode="External"/><Relationship Id="rId11" Type="http://schemas.openxmlformats.org/officeDocument/2006/relationships/hyperlink" Target="http://sixthformlaw.info/02_cases/mod3a/cases_36_invol_gross_neg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ixthformlaw.info/02_cases/mod3a/cases_31_murder_actu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xthformlaw.info/02_cases/mod3a/cases_31_murder_actus.htm" TargetMode="External"/><Relationship Id="rId14" Type="http://schemas.openxmlformats.org/officeDocument/2006/relationships/hyperlink" Target="http://sixthformlaw.info/02_cases/mod3a/cases_51_assaults_actu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88A6AC5B</Template>
  <TotalTime>1</TotalTime>
  <Pages>2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M.Crump</dc:creator>
  <cp:lastModifiedBy>M.Crump</cp:lastModifiedBy>
  <cp:revision>1</cp:revision>
  <dcterms:created xsi:type="dcterms:W3CDTF">2013-06-13T16:40:00Z</dcterms:created>
  <dcterms:modified xsi:type="dcterms:W3CDTF">2013-06-13T16:41:00Z</dcterms:modified>
</cp:coreProperties>
</file>